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BayBGG (Bayern) — Gestaltung von Bescheiden und Vordrucken, Verordnungsermächtigung</w:t>
      </w:r>
    </w:p>
    <w:p>
      <w:r>
        <w:rPr>
          <w:color w:val="555555"/>
          <w:sz w:val="18"/>
        </w:rPr>
        <w:t xml:space="preserve">Bayerisches Behindertengleichstellungsgesetz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Träger öffentlicher Gewalt haben bei der Gestaltung von schriftlichen Bescheiden, Allgemeinverfügungen, öffentlich-rechtlichen Verträgen und Vordrucken eine Behinderung von Menschen zu berücksichtigen; dies gilt auch für die Staatsanwaltschaften, den Bayerischen Rundfunk und die Landeszentrale für neue Medien. Zur Wahrnehmung eigener Rechte im Verwaltungsverfahren können blinde und sehbehinderte Menschen nach Maßgabe der Rechtsverordnung nach Abs. 2 insbesondere verlangen, dass ihnen Bescheide, öffentlich-rechtliche Verträge und Vordrucke ohne zusätzliche Kosten auch in einer für sie wahrnehmbaren Form zugänglich gemacht werden. Vorschriften über Form, Bekanntmachung und Zustellung von Verwaltungsakten bleiben unberührt.</w:t>
      </w:r>
    </w:p>
    <w:p>
      <w:r>
        <w:t xml:space="preserve">(2) Die Staatsregierung bestimmt durch Rechtsverordnung, unter Berücksichtigung der technischen, finanziellen, wirtschaftlichen und verwaltungsorganisatorischen Möglichkeiten, unter welchen Voraussetzungen und in welcher Art und Weise die in Abs. 1 genannten Dokumente blinden und sehbehinderten Menschen zugänglich gemacht werden.</w:t>
      </w:r>
    </w:p>
    <w:p>
      <w:r>
        <w:rPr>
          <w:color w:val="555555"/>
          <w:sz w:val="17"/>
        </w:rPr>
        <w:t xml:space="preserve">Zitiervorschlag: Art 12 BayBGG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