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BayBGG (Bayern) — Herstellung von Barrierefreiheit in den Bereichen Bau und Verkehr</w:t>
      </w:r>
    </w:p>
    <w:p>
      <w:r>
        <w:rPr>
          <w:color w:val="555555"/>
          <w:sz w:val="18"/>
        </w:rPr>
        <w:t xml:space="preserve">Bayerisches Behindertengleichstellungsgesetz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Neu-, Um- und Erweiterungsbauten der Behörden, Gerichte und sonstigen öffentlichen Stellen des Freistaates Bayern sowie entsprechende Bauten der Gemeinden, Gemeindeverbände und der sonstigen der Aufsicht des Freistaates Bayern unterstehenden juristischen Personen des öffentlichen Rechts sollen entsprechend den allgemein anerkannten Regeln der Technik barrierefrei gestaltet werden. Gleiches gilt für Tageseinrichtungen für Kinder, die von einem Träger öffentlicher Gewalt getragen werden; dies gilt auch für die Staatsanwaltschaften, den Bayerischen Rundfunk und die Bayerische Landeszentrale für neue Medien. Von den Anforderungen nach den Sätzen 1 und 2 kann abgewichen werden, wenn mit einer anderen Lösung in gleichem Maße die Anforderungen an die Barrierefreiheit erfüllt werden. Die Regelungen der Bayerischen Bauordnung bleiben unberührt.</w:t>
      </w:r>
    </w:p>
    <w:p>
      <w:r>
        <w:t xml:space="preserve">(2) Die in Abs. 1 Satz 1 und 2 genannten Stellen sollen anlässlich der Durchführung von investiven Baumaßnahmen nach Abs. 1 bauliche Barrieren in den nicht von diesen Baumaßnahmen unmittelbar betroffenen Gebäudeteilen, soweit sie dem Publikumsverkehr dienen, feststellen und unter Berücksichtigung der baulichen Gegebenheiten abbauen, sofern die Feststellung und der Abbau nicht einen unverhältnismäßigen Aufwand darstellen.</w:t>
      </w:r>
    </w:p>
    <w:p>
      <w:r>
        <w:t xml:space="preserve">(3) Die in Abs. 1 Satz 1 und 2 genannten Stellen sind verpflichtet, die Barrierefreiheit bei Anmietungen der von ihnen genutzten Bauten zu berücksichtigen. Künftig sollen möglichst nur barrierefreie Bauten angemietet werden, soweit die Anmietung nicht eine unangemessene wirtschaftliche Belastung zur Folge hätte.</w:t>
      </w:r>
    </w:p>
    <w:p>
      <w:r>
        <w:t xml:space="preserve">(4) Sonstige bauliche oder andere Anlagen, öffentliche Wege, Plätze und Straßen sowie öffentlich zugängliche Verkehrsanlagen und Beförderungsmittel im öffentlichen Personennahverkehr sind nach Maßgabe der einschlägigen Rechtsvorschriften barrierefrei zu gestalten.</w:t>
      </w:r>
    </w:p>
    <w:p>
      <w:r>
        <w:rPr>
          <w:color w:val="555555"/>
          <w:sz w:val="17"/>
        </w:rPr>
        <w:t xml:space="preserve">Zitiervorschlag: Art 10 BayBGG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https://recht.nulegal.eu/gesetze/BayBGG/10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