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99 BayBG (Bayern) — Mutterschutz, Elternzeit, Schwerbehinderung, Arbeitsschutz, Gendiagnostik</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Staatsregierung regelt durch Rechtsverordnung die der Eigenart des öffentlichen Dienstes entsprechende Anwendung</w:t>
      </w:r>
    </w:p>
    <w:p>
      <w:r>
        <w:t xml:space="preserve">1. der Vorschriften des Mutterschutzgesetzes auf Beamtinnen,</w:t>
      </w:r>
    </w:p>
    <w:p>
      <w:r>
        <w:t xml:space="preserve">2. der Vorschriften des Bundeselterngeld- und Elternzeitgesetzes über die Elternzeit auf Beamte und Beamtinnen,</w:t>
      </w:r>
    </w:p>
    <w:p>
      <w:r>
        <w:t xml:space="preserve">3. der auf das Arbeitsschutzgesetz gestützten Rechtsverordnungen auf Beamte und Beamtinnen.</w:t>
      </w:r>
    </w:p>
    <w:p>
      <w:r>
        <w:t xml:space="preserve">Weitere Regelungen zur Ausgestaltung der Vorschriften des Neunten Buches Sozialgesetzbuch auf schwerbehinderte und gleichgestellte Beamte, Beamtinnen, Bewerber und Bewerberinnen im öffentlichen Dienst regelt das Staatsministerium der Finanzen und für Heimat durch Verwaltungsvorschriften.</w:t>
      </w:r>
    </w:p>
    <w:p>
      <w:r>
        <w:t xml:space="preserve">(2) Soweit öffentliche Belange es zwingend erfordern, insbesondere zur Aufrechterhaltung oder Wiederherstellung der öffentlichen Sicherheit, kann das zuständige Staatsministerium im Einvernehmen mit dem Staatsministerium der Finanzen und für Heimat für bestimmte Tätigkeiten durch Rechtsverordnung bestimmen, dass Vorschriften des Arbeitsschutzgesetzes oder hierzu erlassener Rechtsverordnungen des Bundes ganz oder zum Teil nicht anzuwenden sind. In diesen Fällen ist sicherzustellen, dass die Sicherheit und der Gesundheitsschutz bei der Arbeit unter Berücksichtigung der Ziele des Arbeitsschutzgesetzes auf andere Weise gewährleistet werden.</w:t>
      </w:r>
    </w:p>
    <w:p>
      <w:r>
        <w:t xml:space="preserve">(3) Die für Beschäftigte geltenden Vorschriften des Gendiagnostikgesetzes gelten für Beamte und Beamtinnen im Sinn dieses Gesetzes entsprechend.</w:t>
      </w:r>
    </w:p>
    <w:p>
      <w:r>
        <w:rPr>
          <w:color w:val="555555"/>
          <w:sz w:val="17"/>
        </w:rPr>
        <w:t xml:space="preserve">Zitiervorschlag: Art 99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https://recht.nulegal.eu/gesetze/BayBG/99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