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98 BayBG (Bayern) — Schadensersatz bei Gewaltakten Dritter und Sachschadensersatz bei Unfällen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Werden durch Gewaltakte Dritter, die im Hinblick auf das pflichtgemäße dienstliche Verhalten von Beamten und Beamtinnen begangen werden, Gegenstände beschädigt oder zerstört, die den Beamten und Beamtinnen, ihren Familienangehörigen oder mit ihnen in häuslicher Gemeinschaft lebenden Personen gehören, oder den Beamten und Beamtinnen sonstige, nicht unerhebliche Vermögensschäden zugefügt, so kann der Dienstherr hierfür Ersatz leisten. Gleiches gilt in den Fällen, in denen sich der Gewaltakt gegen den Dienstherrn als solchen gerichtet hat.</w:t>
      </w:r>
    </w:p>
    <w:p>
      <w:r>
        <w:t xml:space="preserve">(2) Werden in Ausübung oder infolge des Dienstes Kleidungsstücke oder sonstige Gegenstände, die üblicherweise oder aus dienstlichem Grund im Dienst mitgeführt werden, durch einen Unfall beschädigt oder verloren, so kann der Dienstherr dafür Ersatz leisten, sofern der Beamte oder die Beamtin den Schaden nicht vorsätzlich oder grob fahrlässig verursacht hat.</w:t>
      </w:r>
    </w:p>
    <w:p>
      <w:r>
        <w:t xml:space="preserve">(3) Ansprüche auf Ersatzleistungen sind innerhalb von drei Monaten nach dem Eintritt des Schadens bei der Dienststelle oder der für die Entscheidung über die Ersatzleistung zuständigen Behörde schriftlich geltend zu machen. Die Entscheidung trifft die oberste Dienstbehörde, bei Beamten und Beamtinnen des Staates die Pensionsbehörde (Art. 9 Abs. 2 BayBeamtVG).</w:t>
      </w:r>
    </w:p>
    <w:p>
      <w:r>
        <w:t xml:space="preserve">(4) Hat der Dienstherr Ersatz geleistet, so gehen insoweit Ansprüche gegen Dritte auf ihn über. Der Übergang der Ansprüche kann nicht zum Nachteil des oder der Geschädigten geltend gemacht werden.</w:t>
      </w:r>
    </w:p>
    <w:p>
      <w:r>
        <w:rPr>
          <w:color w:val="555555"/>
          <w:sz w:val="17"/>
        </w:rPr>
        <w:t xml:space="preserve">Zitiervorschlag: Art 98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