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85 BayBG (Bayern) — Ausführungsverordnung</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zur Ausführung der Art. 81 bis 84 notwendigen Vorschriften über die Nebentätigkeit erlässt die Staatsregierung durch Rechtsverordnung. In ihr kann auch bestimmt werden,</w:t>
      </w:r>
    </w:p>
    <w:p>
      <w:r>
        <w:t xml:space="preserve">1. welche Tätigkeiten als öffentlicher Dienst im Sinn dieser Vorschriften anzusehen sind oder ihm gleichstehen,</w:t>
      </w:r>
    </w:p>
    <w:p>
      <w:r>
        <w:t xml:space="preserve">2. ob und inwieweit für eine im öffentlichen Dienst ausgeübte oder auf Verlangen, Vorschlag oder Veranlassung des Dienstherrn übernommene Nebentätigkeit eine Vergütung gezahlt wird oder eine erhaltene Vergütung abzuführen ist und diese Vergütung geschätzt werden kann, wenn hierüber keine Auskunft gegeben wird oder über entsprechende Angaben keine ausreichende Aufklärung gegeben werden kann oder Aufzeichnungen nicht vorgelegt werden, die nach beamtenrechtlichen Rechtsvorschriften zu führen sind,</w:t>
      </w:r>
    </w:p>
    <w:p>
      <w:r>
        <w:t xml:space="preserve">3. inwieweit Auskunft über eine Vergütung aus einer genehmigungspflichtigen Nebentätigkeit zu erteilen ist,</w:t>
      </w:r>
    </w:p>
    <w:p>
      <w:r>
        <w:t xml:space="preserve">4. unter welchen Voraussetzungen bei der Ausübung von Nebentätigkeiten Einrichtungen, Personal oder Material des Dienstherrn in Anspruch genommen werden dürfen und welches Entgelt hierfür zu entrichten ist,</w:t>
      </w:r>
    </w:p>
    <w:p>
      <w:r>
        <w:t xml:space="preserve">5. das Nähere hinsichtlich der Auskunftspflicht nach Art. 81 Abs. 3 Satz 6 und Abs. 5 Satz 3, Art. 82 Abs. 2 und 3, der Schätzung nach Art. 81 Abs. 5 Satz 4, Art. 82 Abs. 3.</w:t>
      </w:r>
    </w:p>
    <w:p>
      <w:r>
        <w:t xml:space="preserve">(2) Im staatlichen Bereich kann das zuständige Staatsministerium in Ergänzung einer Rechtsverordnung nach Abs. 1 Satz 2 Nr. 2 die Höhe der Vergütung für eine Nebentätigkeit durch Verwaltungsvorschriften regeln. Wird eine Verwaltungsvorschrift nicht erlassen, ist die Höhe der Vergütung vom zuständigen Staatsministerium durch Einzelentscheidung zu bestimmen. Verwaltungsvorschriften und Einzelentscheidungen bedürfen der Zustimmung des Staatsministeriums der Finanzen und für Heimat.</w:t>
      </w:r>
    </w:p>
    <w:p>
      <w:r>
        <w:rPr>
          <w:color w:val="555555"/>
          <w:sz w:val="17"/>
        </w:rPr>
        <w:t xml:space="preserve">Zitiervorschlag: Art 85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https://recht.nulegal.eu/gesetze/BayBG/85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