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83 BayBG (Bayern) — Rückgriffshaftung des Dienstherrn</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Werden Beamte und Beamtinnen aus ihrer Tätigkeit im Vorstand, Aufsichtsrat, Verwaltungsrat oder in einem sonstigen Organ einer Gesellschaft, Genossenschaft oder eines in einer anderen Rechtsform betriebenen Unternehmens, die sie auf schriftliches Verlangen, Vorschlag oder Veranlassung des Dienstherrn übernommen haben, haftbar gemacht, so besteht gegen den Dienstherrn Anspruch auf Ersatz des ihnen entstandenen Schadens. Ist der Schaden vorsätzlich oder grob fahrlässig herbeigeführt worden, so ist der Dienstherr nur dann ersatzpflichtig, wenn der Beamte oder die Beamtin auf schriftliches Verlangen eines oder einer Vorgesetzten gehandelt hat.</w:t>
      </w:r>
    </w:p>
    <w:p>
      <w:r>
        <w:rPr>
          <w:color w:val="555555"/>
          <w:sz w:val="17"/>
        </w:rPr>
        <w:t xml:space="preserve">Zitiervorschlag: Art 83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https://recht.nulegal.eu/gesetze/BayBG/83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