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82 BayBG (Bayern) — Genehmigungsfreie Nebentätigkeit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Nicht genehmigungspflichtig ist</w:t>
      </w:r>
    </w:p>
    <w:p>
      <w:r>
        <w:t xml:space="preserve">1. eine Nebentätigkeit, die auf Vorschlag oder Veranlassung des Dienstherrn übernommen wird,</w:t>
      </w:r>
    </w:p>
    <w:p>
      <w:r>
        <w:t xml:space="preserve">2. die Ausübung einer oder mehrerer Nebentätigkeiten im Gesamtumfang von bis zu zehn Stunden wöchentlich und einer Gesamtvergütung von bis zu 10 000 € im Kalenderjahr,</w:t>
      </w:r>
    </w:p>
    <w:p>
      <w:r>
        <w:t xml:space="preserve">3. die Verwaltung eigenen oder der eigenen Nutznießung unterliegenden Vermögens,</w:t>
      </w:r>
    </w:p>
    <w:p>
      <w:r>
        <w:t xml:space="preserve">4. eine schriftstellerische, wissenschaftliche, künstlerische Tätigkeit oder Vortragstätigkeit,</w:t>
      </w:r>
    </w:p>
    <w:p>
      <w:r>
        <w:t xml:space="preserve">5. die mit Lehr- oder Forschungsaufgaben zusammenhängende selbstständige Gutachtertätigkeit von Professoren und Professorinnen an staatlichen Hochschulen sowie von Beamten und Beamtinnen an wissenschaftlichen Instituten und Anstalten,</w:t>
      </w:r>
    </w:p>
    <w:p>
      <w:r>
        <w:t xml:space="preserve">6. die Tätigkeit zur Wahrung von Berufsinteressen in Gewerkschaften oder Berufsverbänden oder in Selbsthilfeeinrichtungen der Beamten und Beamtinnen.</w:t>
      </w:r>
    </w:p>
    <w:p>
      <w:r>
        <w:t xml:space="preserve">(2) Liegen Anhaltspunkte für eine Verletzung von Dienstpflichten vor, können Dienstvorgesetzte verlangen, dass Beamte und Beamtinnen über Art und Umfang nicht genehmigungspflichtiger Nebentätigkeiten und die hieraus erzielten Vergütungen schriftlich Auskunft erteilen und die erforderlichen Nachweise führen. Eine nicht genehmigungspflichtige Nebentätigkeit ist von den Dienstvorgesetzten ganz oder teilweise zu untersagen, wenn bei ihrer Ausübung dienstliche Pflichten verletzt werden oder eine Genehmigung nach Art. 81 Abs. 3 zu versagen wäre.</w:t>
      </w:r>
    </w:p>
    <w:p>
      <w:r>
        <w:t xml:space="preserve">(3) Art. 81 Abs. 4 und 5 gilt entsprechend.</w:t>
      </w:r>
    </w:p>
    <w:p>
      <w:r>
        <w:rPr>
          <w:color w:val="555555"/>
          <w:sz w:val="17"/>
        </w:rPr>
        <w:t xml:space="preserve">Zitiervorschlag: Art 82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https://recht.nulegal.eu/gesetze/BayBG/82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