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78 BayBG (Bayern) — Verjährung der Schadensersatzpflicht und gesetzlicher Forderungsübergang</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Ansprüche nach § 48 BeamtStG verjähren in drei Jahren von dem Zeitpunkt an, in dem der Dienstherr von dem Schaden und der Person des oder der Ersatzpflichtigen Kenntnis erlangt hat, ohne Rücksicht auf diese Kenntnis in zehn Jahren von der Begehung der Handlung an. Hat der Dienstherr einem Dritten Schadensersatz geleistet, so tritt an die Stelle des Zeitpunkts, in dem der Dienstherr von dem Schaden Kenntnis erlangt, der Zeitpunkt, in dem der Ersatzanspruch des Dritten diesem gegenüber vom Dienstherrn anerkannt oder dem Dienstherrn gegenüber rechtskräftig festgestellt wird.</w:t>
      </w:r>
    </w:p>
    <w:p>
      <w:r>
        <w:t xml:space="preserve">(2) Leistet der Beamte oder die Beamtin dem Dienstherrn Ersatz und hat dieser einen Ersatzanspruch gegen einen Dritten, so geht der Ersatzanspruch auf den Beamten oder die Beamtin über.</w:t>
      </w:r>
    </w:p>
    <w:p>
      <w:r>
        <w:rPr>
          <w:color w:val="555555"/>
          <w:sz w:val="17"/>
        </w:rPr>
        <w:t xml:space="preserve">Zitiervorschlag: Art 78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https://recht.nulegal.eu/gesetze/BayBG/78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