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69 BayBG (Bayern) — Auflösung oder Umbildung von Körperschaften</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Auflösung oder Umbildung einer Körperschaft (Art. 51) kann die aufnehmende oder neue Körperschaft, wenn die Zahl der bei ihr nach der Umbildung vorhandenen Beamten oder Beamtinnen den tatsächlichen Bedarf übersteigt, innerhalb einer Frist von sechs Monaten Beamte oder Beamtinnen auf Lebenszeit oder auf Zeit, deren Aufgabengebiet von der Umbildung berührt wurde, in den einstweiligen Ruhestand versetzen. Die Frist des Satzes 1 beginnt im Fall des Art. 51 Abs. 1 mit dem Übertritt, in den Fällen des Art. 51 Abs. 2 und 3 mit der Bestimmung derjenigen Beamten oder Beamtinnen, zu deren Übernahme die Körperschaft verpflichtet ist; Entsprechendes gilt in den Fällen des Art. 51 Abs. 4. Art. 68 Satz 3 gilt entsprechend. Bei Beamten oder Beamtinnen auf Zeit, die nach Satz 1 in den einstweiligen Ruhestand versetzt sind, endet der einstweilige Ruhestand mit Ablauf der Amtszeit; sie gelten in diesem Zeitpunkt als dauernd in den Ruhestand versetzt, wenn sie bei Verbleiben im Amt mit Ablauf der Amtszeit in den Ruhestand getreten wären.</w:t>
      </w:r>
    </w:p>
    <w:p>
      <w:r>
        <w:t xml:space="preserve">(2) In den Fällen einer landesübergreifenden Körperschaftsumbildung nach § 18 Abs. 2 Satz 1 BeamtStG beträgt die Frist sechs Monate; Abs. 1 Satz 2 gilt in diesen Fällen entsprechend.</w:t>
      </w:r>
    </w:p>
    <w:p>
      <w:r>
        <w:rPr>
          <w:color w:val="555555"/>
          <w:sz w:val="17"/>
        </w:rPr>
        <w:t xml:space="preserve">Zitiervorschlag: Art 69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69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