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67 BayBG (Bayern) — Mitteilung aus Untersuchungsbefunden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in den Fällen des Art. 65 eine amtsärztliche Untersuchung durchgeführt, teilt der Amtsarzt oder die Amtsärztin im Einzelfall auf Anforderung der Behörde die tragenden Feststellungen und Gründe des Gutachtens und die in Frage kommenden Maßnahmen zur Wiederherstellung der Dienstfähigkeit mit, soweit deren Kenntnis für die Behörde unter Beachtung des Grundsatzes der Verhältnismäßigkeit für die von ihr zu treffende Entscheidung erforderlich ist.</w:t>
      </w:r>
    </w:p>
    <w:p>
      <w:r>
        <w:t xml:space="preserve">(2) Die amtsärztliche Mitteilung über die Untersuchungsbefunde nach Abs. 1 ist in einem gesonderten, verschlossenen und versiegelten Umschlag zu übersenden. Die an die Behörde übermittelten Daten dürfen nur für die nach § 26 BeamtStG zu treffende Entscheidung verarbeitet oder genutzt werden. Die Mitteilung ist verschlossen zur Personalakte zu nehmen.</w:t>
      </w:r>
    </w:p>
    <w:p>
      <w:r>
        <w:t xml:space="preserve">(3) Die Behörde hat vor der Untersuchung auf den Zweck der Untersuchung und auf die amtsärztliche Befugnis zur Übermittlung der Untersuchungsbefunde nach Abs. 1 an die Behörde hinzuweisen. Der Amtsarzt oder die Amtsärztin übermittelt dem Beamten oder der Beamtin oder, soweit dem amtsärztliche Gründe entgegenstehen, dem Vertreter oder der Vertreterin eine Ablichtung der auf Grund dieser Vorschrift an die Behörde erteilten Auskünfte.</w:t>
      </w:r>
    </w:p>
    <w:p>
      <w:r>
        <w:rPr>
          <w:color w:val="555555"/>
          <w:sz w:val="17"/>
        </w:rPr>
        <w:t xml:space="preserve">Zitiervorschlag: Art 67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https://recht.nulegal.eu/gesetze/BayBG/67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67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