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64 BayBG (Bayern) — Ruhestandsversetzung auf Antrag</w:t>
      </w:r>
    </w:p>
    <w:p>
      <w:r>
        <w:rPr>
          <w:color w:val="555555"/>
          <w:sz w:val="18"/>
        </w:rPr>
        <w:t xml:space="preserve">Bayerisches Beamtengesetz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Ein Beamter oder eine Beamtin auf Lebenszeit kann auf Antrag in den Ruhestand versetzt werden, wenn er oder sie</w:t>
      </w:r>
    </w:p>
    <w:p>
      <w:r>
        <w:t xml:space="preserve">1. das 64. Lebensjahr vollendet hat oder</w:t>
      </w:r>
    </w:p>
    <w:p>
      <w:r>
        <w:t xml:space="preserve">2. schwerbehindert im Sinn des § 2 Abs. 2 des Neunten Buches Sozialgesetzbuch (SGB IX) ist und mindestens das 60. Lebensjahr vollendet hat.</w:t>
      </w:r>
    </w:p>
    <w:p>
      <w:r>
        <w:rPr>
          <w:color w:val="555555"/>
          <w:sz w:val="17"/>
        </w:rPr>
        <w:t xml:space="preserve">Zitiervorschlag: Art 64 BayBG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https://recht.nulegal.eu/gesetze/BayBG/64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