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 BayBG (Bayern) — Zuständigkeiten nach dem Beamtenstatusgesetz</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Ausnahmen von dem Erfordernis einer bestimmten Staatsangehörigkeit nach § 7 Abs. 3 des Beamtenstatusgesetzes (BeamtStG) lässt bei Beamten und Beamtinnen des Staates die oberste Dienstbehörde, im Übrigen die oberste Aufsichtsbehörde zu.</w:t>
      </w:r>
    </w:p>
    <w:p>
      <w:r>
        <w:t xml:space="preserve">(2) Für Abordnungen und Versetzungen nach §§ 14 und 15 BeamtStG gelten Art. 49 Abs. 2 und 3 entsprechend.</w:t>
      </w:r>
    </w:p>
    <w:p>
      <w:r>
        <w:t xml:space="preserve">(3) Die Genehmigung gemäß § 37 Abs. 3 BeamtStG, vor Gericht oder außergerichtlich auszusagen oder Erklärungen abzugeben, erteilt der oder die Dienstvorgesetzte oder, wenn das Beamtenverhältnis beendet ist, der oder die letzte Dienstvorgesetzte. Hat sich der Vorgang, den die Äußerung betrifft, bei einem früheren Dienstherrn ereignet, so darf die Genehmigung nur mit dessen Zustimmung erteilt werden. Über die Versagung der Aussagegenehmigung nach § 37 Abs. 4 und 5 BeamtStG entscheidet die oberste Dienstbehörde; für die Beamten und Beamtinnen der Gemeinden, der Gemeindeverbände und der sonstigen unter der Aufsicht des Staates stehenden Körperschaften, Anstalten und Stiftungen des öffentlichen Rechts tritt an die Stelle der obersten Dienstbehörde die oberste Aufsichtsbehörde oder die von ihr durch Rechtsverordnung bestimmte Behörde. Für Beamte und Beamtinnen der Polizei und des Landesamtes für Verfassungsschutz kann das Staatsministerium des Innern, für Sport und Integration die Ausübung der Befugnis nach Satz 3 durch Rechtsverordnung auf unmittelbar nachgeordnete Behörden übertragen. Zuständig für die Entscheidung über die Herausgabe von Unterlagen nach § 37 Abs. 6 BeamtStG ist der oder die Dienstvorgesetzte oder der oder die letzte Dienstvorgesetzte.</w:t>
      </w:r>
    </w:p>
    <w:p>
      <w:r>
        <w:t xml:space="preserve">(4) Die oberste Dienstbehörde oder die von ihr bestimmte Behörde kann Beamten und Beamtinnen aus zwingenden dienstlichen Gründen die Führung der Dienstgeschäfte nach § 39 BeamtStG verbieten. Der Beamte oder die Beamtin soll vor Erlass des Verbots gehört werden.</w:t>
      </w:r>
    </w:p>
    <w:p>
      <w:r>
        <w:t xml:space="preserve">(5) Ausnahmen von dem Verbot der Annahme von Belohnungen, Geschenken und sonstigen Vorteilen nach § 42 Abs. 1 Satz 2 BeamtStG bedürfen der Zustimmung der obersten oder der letzten obersten Dienstbehörde. Die Befugnis zur Zustimmung kann auf andere Behörden übertragen werden.</w:t>
      </w:r>
    </w:p>
    <w:p>
      <w:r>
        <w:t xml:space="preserve">(6) Übermittlungen bei Strafverfahren nach § 49 BeamtStG sind an die jeweils zuständigen Dienstvorgesetzten oder ihre Vertreter im Amt zu richten und als „Vertrauliche Personalsache“ zu kennzeichnen.</w:t>
      </w:r>
    </w:p>
    <w:p>
      <w:r>
        <w:rPr>
          <w:color w:val="555555"/>
          <w:sz w:val="17"/>
        </w:rPr>
        <w:t xml:space="preserve">Zitiervorschlag: Art 6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