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59 BayBG (Bayern) — Rechtsfolgen des Verlustes der Beamtenrechte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Endet das Beamtenverhältnis nach § 24 Abs. 1 BeamtStG, so entstehen keine Ansprüche auf Leistungen des Dienstherrn, soweit gesetzlich nichts anderes bestimmt ist. Beamte und Beamtinnen dürfen die Amtsbezeichnung und die im Zusammenhang mit dem Amt verliehenen Titel nicht führen.</w:t>
      </w:r>
    </w:p>
    <w:p>
      <w:r>
        <w:rPr>
          <w:color w:val="555555"/>
          <w:sz w:val="17"/>
        </w:rPr>
        <w:t xml:space="preserve">Zitiervorschlag: Art 59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https://recht.nulegal.eu/gesetze/BayBG/59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