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57 BayBG (Bayern) — Entlassung auf eigenen Antrag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 und Beamtinnen können jederzeit gegenüber ihren Dienstvorgesetzten ihre Entlassung verlangen. Die Erklärung kann, solange die Entlassungsverfügung noch nicht zugegangen ist, innerhalb zweier Wochen nach Zugang bei dem oder der Dienstvorgesetzten schriftlich zurückgenommen werden, mit Zustimmung der Entlassungsbehörde auch nach Ablauf dieser Frist.</w:t>
      </w:r>
    </w:p>
    <w:p>
      <w:r>
        <w:t xml:space="preserve">(2) Die Entlassung ist zum beantragten Zeitpunkt auszusprechen. Sie kann so lange hinausgeschoben werden, bis die Amtsgeschäfte des Beamten oder der Beamtin ordnungsgemäß erledigt sind, längstens jedoch drei Monate; bei Lehrkräften an öffentlichen Schulen kann sie bis zum Schluss des laufenden Schulhalbjahres hinausgeschoben werden.</w:t>
      </w:r>
    </w:p>
    <w:p>
      <w:r>
        <w:rPr>
          <w:color w:val="555555"/>
          <w:sz w:val="17"/>
        </w:rPr>
        <w:t xml:space="preserve">Zitiervorschlag: Art 57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https://recht.nulegal.eu/gesetze/BayBG/57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