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BayBG (Bayern) — Leistungen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Leistungen des Dienstherrn sind Besoldung, Versorgung und sonstige Leistungen.</w:t>
      </w:r>
    </w:p>
    <w:p>
      <w:r>
        <w:t xml:space="preserve">(2) Sonstige Leistungen sind Kostenerstattungen und Fürsorgeleistungen, soweit sie nicht zur Besoldung oder Versorgung gehören.</w:t>
      </w:r>
    </w:p>
    <w:p>
      <w:r>
        <w:t xml:space="preserve">(3) Dienstbezüge im Sinn dieses Gesetzes sowie der auf dieses Gesetz gestützten Verordnungen sind die Grundbezüge im Sinn des Art. 2 Abs. 1 und Abs. 2 Nr. 1 bis 5 des Bayerischen Besoldungsgesetzes (BayBesG). Amtszulagen im Sinn des Art. 34 Abs. 1 BayBesG gelten als Bestandteil des Grundgehalts im Sinn dieses Gesetzes.</w:t>
      </w:r>
    </w:p>
    <w:p>
      <w:r>
        <w:rPr>
          <w:color w:val="555555"/>
          <w:sz w:val="17"/>
        </w:rPr>
        <w:t xml:space="preserve">Zitiervorschlag: Art 5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