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45 BayBG (Bayern) — Ämter mit leitender Funktion im Beamtenverhältnis auf Zeit</w:t>
      </w:r>
    </w:p>
    <w:p>
      <w:r>
        <w:rPr>
          <w:color w:val="555555"/>
          <w:sz w:val="18"/>
        </w:rPr>
        <w:t xml:space="preserve">Bayerisches 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Ämter</w:t>
      </w:r>
    </w:p>
    <w:p>
      <w:r>
        <w:t xml:space="preserve">1. der Amtschefs und Amtschefinnen,</w:t>
      </w:r>
    </w:p>
    <w:p>
      <w:r>
        <w:t xml:space="preserve">2. der Leiter und Leiterinnen von Behörden, soweit sie mindestens in der Besoldungsgruppe B 5 eingestuft sind, und</w:t>
      </w:r>
    </w:p>
    <w:p>
      <w:r>
        <w:t xml:space="preserve">3. der Leiter und Leiterinnen von Organisationseinheiten von Behörden, soweit sie mindestens in der Besoldungsgruppe B 7 eingestuft sind,</w:t>
      </w:r>
    </w:p>
    <w:p>
      <w:r>
        <w:t xml:space="preserve">werden zunächst im Beamtenverhältnis auf Zeit übertragen. Die Dauer der Amtsperiode beträgt fünf Jahre. Zeiten, in denen dem Beamten oder der Beamtin die leitende oder eine vergleichbare Funktion bereits übertragen worden ist, werden bei der Festlegung der Dauer der Amtsperiode angerechnet. Zeiten in einer vergleichbar oder höher bewerteten Funktion, welche der Beamte oder die Beamtin unmittelbar vor der Übertragung eines Amtes in leitender Funktion wahrgenommen hat, werden auf die Dauer der Amtsperiode angerechnet. Beamte und Beamtinnen können vor der Übertragung im Beamtenverhältnis auf Zeit auf die Anrechnung verzichten. Mit Ablauf der Amtsperiode ist dem Beamten oder der Beamtin das Amt mit leitender Funktion auf Lebenszeit zu übertragen, wenn der Beamte oder die Beamtin im Rahmen der bisherigen Amtsführung den Anforderungen des Amtes in vollem Umfang gerecht geworden ist. Eine weitere Übertragung des Amtes auf Zeit ist nicht zulässig.</w:t>
      </w:r>
    </w:p>
    <w:p>
      <w:r>
        <w:t xml:space="preserve">(2) Abweichend von Abs. 1 wird das Amt sogleich im Beamtenverhältnis auf Lebenszeit übertragen, wenn der Beamte oder die Beamtin</w:t>
      </w:r>
    </w:p>
    <w:p>
      <w:r>
        <w:t xml:space="preserve">1. bereits ein Amt mit mindestens demselben Endgrundgehalt im Beamten- oder Richterverhältnis auf Lebenszeit innehat oder innehatte oder</w:t>
      </w:r>
    </w:p>
    <w:p>
      <w:r>
        <w:t xml:space="preserve">2. innerhalb von fünf Jahren nach der Übertragung des Amtes die gesetzliche Altersgrenze erreicht.</w:t>
      </w:r>
    </w:p>
    <w:p>
      <w:r>
        <w:t xml:space="preserve">(3) Abs. 1 gilt nicht für die Ämter der Mitglieder des Obersten Rechnungshofs sowie für die Ämter, die auf Grund anderer gesetzlicher Vorschriften im Beamtenverhältnis auf Zeit übertragen werden.</w:t>
      </w:r>
    </w:p>
    <w:p>
      <w:r>
        <w:t xml:space="preserve">(4) Die Gemeinden, Gemeindeverbände und sonstigen unter der Aufsicht des Staates stehenden Körperschaften, Anstalten und Stiftungen des öffentlichen Rechts können für ihre Beamten und Beamtinnen durch Satzung oder Beschluss des obersten Entscheidungsgremiums weitere Ämter der Besoldungsordnung B festlegen, die zunächst im Beamtenverhältnis auf Zeit vergeben werden.</w:t>
      </w:r>
    </w:p>
    <w:p>
      <w:r>
        <w:t xml:space="preserve">(5) In ein Amt mit leitender Funktion nach den Abs. 1 und 4 darf nur berufen werden, wer sich in einem Beamten- oder Richterverhältnis auf Lebenszeit befindet und in dieses Amt auch als Beamter oder Beamtin auf Lebenszeit berufen werden könnte. Die Staatsregierung oder das Präsidium des Landtags können im Rahmen ihrer Ernennungskompetenz Ausnahmen von Satz 1 zulassen; die Zuständigkeit des Landespersonalausschusses ist dabei zu wahren. Richter und Richterinnen dürfen in ein Amt nach Abs. 1 nur berufen werden, wenn sie zugleich zustimmen, bei Wiederaufleben des Richterverhältnisses auf Lebenszeit auch in einem anderen Richteramt desselben Gerichtszweigs mit mindestens demselben Endgrundgehalt verwendet zu werden.</w:t>
      </w:r>
    </w:p>
    <w:p>
      <w:r>
        <w:t xml:space="preserve">(6) Vom Tag der Ernennung an ruhen für die Dauer des Zeitbeamtenverhältnisses die Rechte und Pflichten aus dem Amt, das dem Beamten oder der Beamtin zuletzt im Beamten- oder Richterverhältnis auf Lebenszeit übertragen worden ist; das Beamtenverhältnis auf Lebenszeit oder das Richterverhältnis auf Lebenszeit besteht fort. Dienstvergehen, die mit Bezug auf das Beamten- oder Richterverhältnis auf Lebenszeit oder das Beamtenverhältnis auf Zeit begangen worden sind, werden so verfolgt, als stünde der Beamte oder die Beamtin nur im Beamten- oder Richterverhältnis auf Lebenszeit.</w:t>
      </w:r>
    </w:p>
    <w:p>
      <w:r>
        <w:t xml:space="preserve">(7) Wird der Beamte oder die Beamtin in ein anderes Amt mit leitender Funktion nach Abs. 1 Satz 1 versetzt oder umgesetzt, das in derselben oder einer niedrigeren Besoldungsgruppe eingestuft ist wie das ihm oder ihr zuletzt übertragene Amt mit leitender Funktion, so läuft die Amtszeit weiter.</w:t>
      </w:r>
    </w:p>
    <w:p>
      <w:r>
        <w:t xml:space="preserve">(8) Vor der Übertragung eines anderen, einer höheren Besoldungsgruppe angehörenden Amtes mit leitender Funktion aus einem Beamtenverhältnis auf Zeit heraus ist dem Beamten oder der Beamtin das bisher auf Zeit übertragene Amt auf Lebenszeit zu übertragen.</w:t>
      </w:r>
    </w:p>
    <w:p>
      <w:r>
        <w:t xml:space="preserve">(9) Der Beamte oder die Beamtin ist außer in den in diesem Gesetz oder im Beamtenstatusgesetz bestimmten Fällen</w:t>
      </w:r>
    </w:p>
    <w:p>
      <w:r>
        <w:t xml:space="preserve">1. mit Ablauf der Amtszeit,</w:t>
      </w:r>
    </w:p>
    <w:p>
      <w:r>
        <w:t xml:space="preserve">2. mit der Versetzung zu einem anderen Dienstherrn,</w:t>
      </w:r>
    </w:p>
    <w:p>
      <w:r>
        <w:t xml:space="preserve">3. mit Verhängung einer Disziplinarmaßnahme, die über Verweis oder Geldbuße hinausgeht,</w:t>
      </w:r>
    </w:p>
    <w:p>
      <w:r>
        <w:t xml:space="preserve">4. mit Beendigung des Beamten- oder Richterverhältnisses auf Lebenszeit</w:t>
      </w:r>
    </w:p>
    <w:p>
      <w:r>
        <w:t xml:space="preserve">aus dem Beamtenverhältnis auf Zeit entlassen.</w:t>
      </w:r>
    </w:p>
    <w:p>
      <w:r>
        <w:t xml:space="preserve">(10) Mit der Entlassung aus dem Beamtenverhältnis auf Zeit endet der Anspruch auf Besoldung aus diesem Amt. Weitergehende besoldungsrechtliche Ansprüche bestehen nicht. Der Beamte oder die Beamtin darf während der Amtszeit nur die Amtsbezeichnung des übertragenen Amtes mit leitender Funktion führen; Art. 76 Abs. 4 Satz 2 findet keine entsprechende Anwendung.</w:t>
      </w:r>
    </w:p>
    <w:p>
      <w:r>
        <w:t xml:space="preserve">(11) (aufgehoben)</w:t>
      </w:r>
    </w:p>
    <w:p>
      <w:r>
        <w:t xml:space="preserve">(12) Dienstunfähige Beamte und Beamtinnen sind aus dem Beamtenverhältnis auf Zeit in den Ruhestand zu versetzen, wenn sie</w:t>
      </w:r>
    </w:p>
    <w:p>
      <w:r>
        <w:t xml:space="preserve">1. eine Amtsperiode von mindestens zwei Jahren zurückgelegt haben und die Voraussetzungen des Art. 11 Abs. 1 des Bayerischen Beamtenversorgungsgesetzes (BayBeamtVG) erfüllen oder</w:t>
      </w:r>
    </w:p>
    <w:p>
      <w:r>
        <w:t xml:space="preserve">2. infolge eines Dienstunfalls dienstunfähig geworden sind.</w:t>
      </w:r>
    </w:p>
    <w:p>
      <w:r>
        <w:t xml:space="preserve">(13) Art. 17 Abs. 1 Satz 3 Nr. 2 LlbG findet keine Anwendung.</w:t>
      </w:r>
    </w:p>
    <w:p>
      <w:r>
        <w:rPr>
          <w:color w:val="555555"/>
          <w:sz w:val="17"/>
        </w:rPr>
        <w:t xml:space="preserve">Zitiervorschlag: Art 45 BayBG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https://recht.nulegal.eu/gesetze/BayBG/45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