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23 BayBG (Bayern) — Altersgrenze für die Berufung</w:t>
      </w:r>
    </w:p>
    <w:p>
      <w:r>
        <w:rPr>
          <w:color w:val="555555"/>
          <w:sz w:val="18"/>
        </w:rPr>
        <w:t xml:space="preserve">Bayerisches Beamtengesetz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In das Beamtenverhältnis darf nicht berufen werden, wer bereits das 45. Lebensjahr vollendet hat. Ausnahmen kann die oberste Dienstbehörde zulassen; bei Beamten und Beamtinnen des Staates ist das Einvernehmen des Staatsministeriums der Finanzen und für Heimat, im Übrigen die Zustimmung des Landespersonalausschusses erforderlich.</w:t>
      </w:r>
    </w:p>
    <w:p>
      <w:r>
        <w:t xml:space="preserve">(2) Abs. 1 gilt nicht für Beamte und Beamtinnen auf Zeit.</w:t>
      </w:r>
    </w:p>
    <w:p>
      <w:r>
        <w:rPr>
          <w:color w:val="555555"/>
          <w:sz w:val="17"/>
        </w:rPr>
        <w:t xml:space="preserve">Zitiervorschlag: Art 23 BayBG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https://recht.nulegal.eu/gesetze/BayBG/23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