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21 BayBG (Bayern) — Verfahren und Rechtsfolgen bei nichtiger oder rücknehmbarer Ernennung</w:t>
      </w:r>
    </w:p>
    <w:p>
      <w:r>
        <w:rPr>
          <w:color w:val="555555"/>
          <w:sz w:val="18"/>
        </w:rPr>
        <w:t xml:space="preserve">Bayerisches Beamtengesetz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Ist eine Ernennung nichtig, hat der oder die Dienstvorgesetzte dem oder der Ernannten die weitere Führung der Dienstgeschäfte zu verbieten. Das Verbot ist erst dann auszusprechen, wenn die sachlich zuständigen Stellen es abgelehnt haben, die Ernennung zu bestätigen oder eine Ausnahme nachträglich zuzulassen (§ 11 Abs. 2 BeamtStG).</w:t>
      </w:r>
    </w:p>
    <w:p>
      <w:r>
        <w:t xml:space="preserve">(2) Die Rücknahme einer Ernennung (§ 12 BeamtStG) wird von der obersten Dienstbehörde erklärt; die Erklärung ist dem Beamten, der Beamtin oder seinen oder ihren versorgungsberechtigten Hinterbliebenen zuzustellen. Die Ernennung kann in den Fällen des § 12 Abs. 1 Nr. 1 bis 3 BeamtStG nur innerhalb einer Frist von sechs Monaten, in den Fällen des § 12 Abs. 1 Nr. 4 BeamtStG nur innerhalb einer Frist von einem Jahr zurückgenommen werden, nachdem die oberste Dienstbehörde, bei den Gemeinden, den Gemeindeverbänden und den sonstigen unter der Aufsicht des Staates stehenden Körperschaften, Anstalten und Stiftungen des öffentlichen Rechts die in beamtenrechtlichen Angelegenheiten zur Vertretung nach außen berechtigte Stelle von der Ernennung und dem Rücknahmegrund Kenntnis erlangt hat.</w:t>
      </w:r>
    </w:p>
    <w:p>
      <w:r>
        <w:t xml:space="preserve">(3) Ist eine Ernennung nichtig oder ist sie zurückgenommen worden, so sind die bis zu dem Verbot nach Abs. 1 oder bis zu der Rücknahme nach Abs. 2 vorgenommenen Amtshandlungen des oder der Ernannten in gleicher Weise gültig, wie wenn sie ein Beamter oder eine Beamtin ausgeführt hätte.</w:t>
      </w:r>
    </w:p>
    <w:p>
      <w:r>
        <w:t xml:space="preserve">(4) Die Leistungen des Dienstherrn können belassen werden.</w:t>
      </w:r>
    </w:p>
    <w:p>
      <w:r>
        <w:rPr>
          <w:color w:val="555555"/>
          <w:sz w:val="17"/>
        </w:rPr>
        <w:t xml:space="preserve">Zitiervorschlag: Art 21 BayBG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https://recht.nulegal.eu/gesetze/BayBG/21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