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Art 20 BayBG (Bayern) — Stellenausschreibungen</w:t>
      </w:r>
    </w:p>
    <w:p>
      <w:r>
        <w:rPr>
          <w:color w:val="555555"/>
          <w:sz w:val="18"/>
        </w:rPr>
        <w:t xml:space="preserve">Bayerisches Beamtengesetz</w:t>
      </w:r>
    </w:p>
    <w:p>
      <w:r>
        <w:rPr>
          <w:color w:val="555555"/>
          <w:sz w:val="18"/>
        </w:rPr>
        <w:t xml:space="preserve">Landesrecht Bayern</w:t>
      </w:r>
    </w:p>
    <w:p>
      <w:r>
        <w:rPr>
          <w:color w:val="555555"/>
          <w:sz w:val="18"/>
        </w:rPr>
        <w:t xml:space="preserve">Stand: 25.08.2026 (konsolidierte Textfassung, kein amtliches Inkrafttretensdatum)</w:t>
      </w:r>
    </w:p>
    <w:p>
      <w:r>
        <w:t xml:space="preserve">(1) Bewerber und Bewerberinnen sind durch Stellenausschreibung zu ermitteln, wenn es im besonderen dienstlichen Interesse liegt. Ein besonderes dienstliches Interesse liegt insbesondere dann vor, wenn für die Besetzung freier Stellen geeignete Regelbewerber und Regelbewerberinnen (Art. 4 Abs. 1 des Gesetzes über die Leistungslaufbahn und die Fachlaufbahnen der bayerischen Beamten und Beamtinnen – Leistungslaufbahngesetz – LlbG) beim Dienstherrn nicht zur Verfügung stehen.</w:t>
      </w:r>
    </w:p>
    <w:p>
      <w:r>
        <w:t xml:space="preserve">(2) Die Stellenausschreibung muss für die Bewerbung eine Frist von mindestens zwei Wochen vorsehen. Auf gesetzliche Vorschriften, nach denen bestimmte Personengruppen bevorzugt einzustellen sind, soll besonders hingewiesen werden.</w:t>
      </w:r>
    </w:p>
    <w:p>
      <w:r>
        <w:rPr>
          <w:color w:val="555555"/>
          <w:sz w:val="17"/>
        </w:rPr>
        <w:t xml:space="preserve">Zitiervorschlag: Art 20 BayBG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https://recht.nulegal.eu/gesetze/BayBG/20</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