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17 BayBG (Bayern) — Beteiligung der kommunalen Spitzenverbände</w:t>
      </w:r>
    </w:p>
    <w:p>
      <w:r>
        <w:rPr>
          <w:color w:val="555555"/>
          <w:sz w:val="18"/>
        </w:rPr>
        <w:t xml:space="preserve">Bayerisches Beamtengesetz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Bei der Vorbereitung gesetzlicher Regelungen der beamtenrechtlichen Verhältnisse durch die obersten Landesbehörden sind die kommunalen Spitzenverbände zu beteiligen, wenn die Rechtsverhältnisse der Beamten und Beamtinnen im kommunalen Bereich berührt werden.</w:t>
      </w:r>
    </w:p>
    <w:p>
      <w:r>
        <w:rPr>
          <w:color w:val="555555"/>
          <w:sz w:val="17"/>
        </w:rPr>
        <w:t xml:space="preserve">Zitiervorschlag: Art 17 BayBG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https://recht.nulegal.eu/gesetze/BayBG/17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