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147 BayBG (Bayern) — Inkrafttreten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Gesetz tritt am 1. April 2009 in Kraft. Abweichend von Satz 1 treten Art. 45 Abs. 12 Nr. 1 und Abs. 14 mit Wirkung vom 1. April 2007 in Kraft.</w:t>
      </w:r>
    </w:p>
    <w:p>
      <w:r>
        <w:rPr>
          <w:color w:val="555555"/>
          <w:sz w:val="17"/>
        </w:rPr>
        <w:t xml:space="preserve">Zitiervorschlag: Art 147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https://recht.nulegal.eu/gesetze/BayBG/147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