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142a BayBG (Bayern) — Übergangsregelung zur Altersteilzeit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Für Beamte und Beamtinnen, die Altersteilzeit vor dem 1. Januar 2010 angetreten haben, gilt Art. 91 in der am 31. Dezember 2009 geltenden Fassung. Für Lehrkräfte an öffentlichen Schulen, die das nach Art. 91 Abs. 1 Satz 1 maßgebliche Lebensjahr in der zweiten Hälfte des Schuljahres 2009/2010 vollenden, gilt als Altersgrenze der Beginn des folgenden Schuljahres. Für diese Lehrkräfte und für Lehrkräfte an öffentlichen Schulen, die die gesetzlichen Voraussetzungen des Art. 91 in der am 31. Dezember 2009 geltenden Fassung erfüllt haben, die aber aus schulorganisatorischen Gründen Altersteilzeit nicht vor dem 1. August 2010 antreten können, gilt hinsichtlich des Arbeitszeitumfangs Art. 91 Abs. 1 Satz 1 in der am 31. Dezember 2009 geltenden Fassung.</w:t>
      </w:r>
    </w:p>
    <w:p>
      <w:r>
        <w:rPr>
          <w:color w:val="555555"/>
          <w:sz w:val="17"/>
        </w:rPr>
        <w:t xml:space="preserve">Zitiervorschlag: Art 142a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https://recht.nulegal.eu/gesetze/BayBG/142a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