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BayBG (Bayern) — Übergang von Ansprüchen</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Werden Beamte, Beamtinnen oder Versorgungsberechtigte oder ihre Angehörigen körperlich verletzt oder getötet, so geht ein gesetzlicher Schadensersatzanspruch, der diesen Personen infolge der Körperverletzung oder der Tötung gegen Dritte zusteht, insoweit auf den Dienstherrn über, als dieser während einer auf der Körperverletzung beruhenden Aufhebung der Dienstfähigkeit oder infolge der Körperverletzung oder der Tötung zur Gewährung von Leistungen verpflichtet ist. Ist eine Versorgungskasse zur Gewährung der Versorgung verpflichtet, so geht der Anspruch auf sie über. Der Übergang des Anspruchs kann nicht zum Nachteil von Verletzten oder Hinterbliebenen geltend gemacht werden. Steht Beihilfeberechtigten gegen einen Leistungserbringer oder eine Leistungserbringerin ein Anspruch auf Rückerstattung oder Schadensersatz auf Grund einer unrichtigen Abrechnung zu, kann der Dienstherr des oder der Beihilfeberechtigten durch schriftliche Anzeige gegenüber dem Leistungserbringer, der Leistungserbringerin oder dessen beziehungsweise deren Abrechnungsstelle bewirken, dass der Anspruch insoweit auf den Dienstherrn übergeht, als dieser auf Antrag des oder der Beihilfeberechtigten zu hohe Beihilfeleistungen an den Beihilfeberechtigten oder die Beihilfeberechtigte erbracht hat. Für den Freistaat Bayern regelt die Zuständigkeit für die Überleitung nach Satz 4 das Staatsministerium der Finanzen und für Heimat durch Rechtsverordnung.</w:t>
      </w:r>
    </w:p>
    <w:p>
      <w:r>
        <w:rPr>
          <w:color w:val="555555"/>
          <w:sz w:val="17"/>
        </w:rPr>
        <w:t xml:space="preserve">Zitiervorschlag: Art 14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