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116 BayBG (Bayern) — Geschäftsordnung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Landespersonalausschuss gibt sich eine Geschäftsordnung.</w:t>
      </w:r>
    </w:p>
    <w:p>
      <w:r>
        <w:rPr>
          <w:color w:val="555555"/>
          <w:sz w:val="17"/>
        </w:rPr>
        <w:t xml:space="preserve">Zitiervorschlag: Art 116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