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BayBörsV (Bayern)</w:t>
      </w:r>
    </w:p>
    <w:p>
      <w:r>
        <w:rPr>
          <w:color w:val="555555"/>
          <w:sz w:val="18"/>
        </w:rPr>
        <w:t xml:space="preserve">Börsenverordnung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Auf Grund von § 3a Abs. 3, § 9 Abs. 1, § 30 Abs. 7 und Abs. 8 des Börsengesetzes in der Fassung der Bekanntmachung vom 9. September 1998 (BGBl I S. 2682) in Verbindung mit § 1 der Verordnung zur Übertragung der Ermächtigung zum Erlass von Rechtsverordnungen nach dem Börsenrecht vom 7. Februar 1995 (GVBl S. 80, BayRS 411–1–W) erlässt das Bayerische Staatsministerium für Wirtschaft, Verkehr und Technologie folgende Verordnung:</w:t>
      </w:r>
    </w:p>
    <w:p>
      <w:r>
        <w:rPr>
          <w:color w:val="555555"/>
          <w:sz w:val="17"/>
        </w:rPr>
        <w:t xml:space="preserve">Zitiervorschlag: Eingangsformel BayBörsV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https://recht.nulegal.eu/gesetze/BayB%C3%B6rsV/eingangsformel</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