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BayAzV (Bayern)</w:t>
      </w:r>
    </w:p>
    <w:p>
      <w:r>
        <w:rPr>
          <w:color w:val="555555"/>
          <w:sz w:val="18"/>
        </w:rPr>
        <w:t xml:space="preserve">Bayerische Arbeitszeitverordnung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80 Abs. 1 und Art. 88a Abs. 2 Satz 3 des Bayerischen Beamtengesetzes und § 19 des Arbeitszeitgesetzes vom 6. Juni 1994 (BGBl I S. 1170) erläßt die Bayerische Staatsregierung folgende Verordnung:</w:t>
      </w:r>
    </w:p>
    <w:p>
      <w:r>
        <w:rPr>
          <w:color w:val="555555"/>
          <w:sz w:val="17"/>
        </w:rPr>
        <w:t xml:space="preserve">Zitiervorschlag: Eingangsformel BayAzV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