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BayAzV (Bayern) — Ruhezeit</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Pro 24-Stunden-Zeitraum ist eine zusammenhängende Ruhezeit von mindestens 11 Stunden und innerhalb eines Siebentageszeitraums eine zusätzliche zusammenhängende Mindestruhezeit von 24 Stunden zu gewähren. Für die Mindestruhezeit von 24 Stunden gilt ein Bezugszeitraum von 14 Tagen.</w:t>
      </w:r>
    </w:p>
    <w:p>
      <w:r>
        <w:t xml:space="preserve">(2) Von Abs. 1 können oberste Dienstbehörden oder von ihnen ermächtigte Behörden Ausnahmen zulassen, wenn zwingende dienstliche Belange im Sinn des Art. 17 Abs. 3 und 4 der Richtlinie 2003/88/EG es erfordern und gleichwertige Ausgleichsruhezeiten gewährt werden. Soweit Ausgleichsruhezeiten nach Satz 1 aus objektiven Gründen nicht möglich sind, ist ein angemessener Schutz der Gesundheit durch geeignete Maßnahmen zu gewährleisten.</w:t>
      </w:r>
    </w:p>
    <w:p>
      <w:r>
        <w:rPr>
          <w:color w:val="555555"/>
          <w:sz w:val="17"/>
        </w:rPr>
        <w:t xml:space="preserve">Zitiervorschlag: § 3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