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BayAusglZV (Bayern)</w:t>
      </w:r>
    </w:p>
    <w:p>
      <w:r>
        <w:rPr>
          <w:color w:val="555555"/>
          <w:sz w:val="18"/>
        </w:rPr>
        <w:t xml:space="preserve">Bayerische Ausgleichszahlungsverordnung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48 Abs. 3 des Bundesbesoldungsgesetzes (BBesG) in der Fassung der Bekanntmachung vom 3. Dezember 1998 (BGBl I S. 3434) erlässt die Bayerische Staatsregierung folgende Verordnung:</w:t>
      </w:r>
    </w:p>
    <w:p>
      <w:r>
        <w:rPr>
          <w:color w:val="555555"/>
          <w:sz w:val="17"/>
        </w:rPr>
        <w:t xml:space="preserve">Zitiervorschlag: Eingangsformel BayAusglZV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https://recht.nulegal.eu/gesetze/BayAusglZV/eingangsformel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