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BayAusglZV (Bayern) — Inkrafttreten, Übergangsregelung</w:t>
      </w:r>
    </w:p>
    <w:p>
      <w:r>
        <w:rPr>
          <w:color w:val="555555"/>
          <w:sz w:val="18"/>
        </w:rPr>
        <w:t xml:space="preserve">Bayerische Ausgleichszahlungsverordnung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mit Wirkung vom 1. August 1999 in Kraft.</w:t>
      </w:r>
    </w:p>
    <w:p>
      <w:r>
        <w:t xml:space="preserve">(2) Die Regelungen der §§ 2 und 3 gelten entsprechend für die vor dem 1. August 1999 auf der Grundlage des § 8a der Arbeitszeitverordnung in der bis 31. August 2004 geltenden Fassung umgesetzten Arbeitsmodelle, soweit diese den Tatbestand des Art. 62 Abs. 1 BayBesG erfüllen.</w:t>
      </w:r>
    </w:p>
    <w:p>
      <w:r>
        <w:rPr>
          <w:color w:val="555555"/>
          <w:sz w:val="17"/>
        </w:rPr>
        <w:t xml:space="preserve">Zitiervorschlag: § 4 BayAusglZV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https://recht.nulegal.eu/gesetze/BayAusglZV/4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