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BayAusglZV (Bayern) — Entstehung und Höhe des Anspruchs</w:t>
      </w:r>
    </w:p>
    <w:p>
      <w:r>
        <w:rPr>
          <w:color w:val="555555"/>
          <w:sz w:val="18"/>
        </w:rPr>
        <w:t xml:space="preserve">Bayerische Ausgleichszahlungsverordnung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Anspruch auf die Ausgleichszahlung entsteht mit dem Eintritt des nach § 2 maßgeblichen Ereignisses. Er richtet sich gegen den Dienstherrn, bei dem die zusätzliche Arbeitszeit geleistet wurde.</w:t>
      </w:r>
    </w:p>
    <w:p>
      <w:r>
        <w:t xml:space="preserve">(2) Für die Höhe der Ausgleichszahlung sind die Stundensätze gemäß Art. 62 Abs. 2 des Bayerischen Besoldungsgesetzes (BayBesG) maßgebend. Dabei ist für die Beamten und Beamtinnen in den Besoldungsgruppen der Besoldungsordnung B der für die Besoldungsgruppen A 13 bis A 16 festgelegte Vergütungssatz in der jeweils geltenden Höhe maßgebend.</w:t>
      </w:r>
    </w:p>
    <w:p>
      <w:r>
        <w:t xml:space="preserve">(3) Für die Bemessung des Umfangs des abzugeltenden Arbeitszeitguthabens gelten die für den dienstrechtlichen Arbeitszeitausgleich maßgebenden Regelungen.</w:t>
      </w:r>
    </w:p>
    <w:p>
      <w:r>
        <w:t xml:space="preserve">(4) Endet das Beamtenverhältnis durch Tod, so steht die Ausgleichszahlung den Erben zu.</w:t>
      </w:r>
    </w:p>
    <w:p>
      <w:r>
        <w:rPr>
          <w:color w:val="555555"/>
          <w:sz w:val="17"/>
        </w:rPr>
        <w:t xml:space="preserve">Zitiervorschlag: § 3 BayAusglZV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https://recht.nulegal.eu/gesetze/BayAusglZV/3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