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BayAusglZV (Bayern) — Anspruchsvoraussetzungen</w:t>
      </w:r>
    </w:p>
    <w:p>
      <w:r>
        <w:rPr>
          <w:color w:val="555555"/>
          <w:sz w:val="18"/>
        </w:rPr>
        <w:t xml:space="preserve">Bayerische Ausgleichszahlungsverordnung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Ausgleichszahlung wird in folgenden Fällen gewährt:</w:t>
      </w:r>
    </w:p>
    <w:p>
      <w:r>
        <w:t xml:space="preserve">1. bei Beendigung des Beamtenverhältnisses,</w:t>
      </w:r>
    </w:p>
    <w:p>
      <w:r>
        <w:t xml:space="preserve">2. beim Dienstherrnwechsel,</w:t>
      </w:r>
    </w:p>
    <w:p>
      <w:r>
        <w:t xml:space="preserve">3. bei sonstiger Beendigung der ungleichmäßigen Verteilung der Arbeitszeit, wenn dadurch ein Arbeitszeitausgleich ganz oder teilweise unmöglich wird.</w:t>
      </w:r>
    </w:p>
    <w:p>
      <w:r>
        <w:rPr>
          <w:color w:val="555555"/>
          <w:sz w:val="17"/>
        </w:rPr>
        <w:t xml:space="preserve">Zitiervorschlag: § 2 BayAusglZV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https://recht.nulegal.eu/gesetze/BayAusglZV/2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