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BayAufVGem (Bayern)</w:t>
      </w:r>
    </w:p>
    <w:p>
      <w:r>
        <w:rPr>
          <w:color w:val="555555"/>
          <w:sz w:val="18"/>
        </w:rPr>
        <w:t xml:space="preserve">Verordnung über Aufgaben der Mitgliedsgemeinden von Verwaltungsgemeinschaften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den Mitgliedsgemeinden von Verwaltungsgemeinschaften verbleiben folgende Aufgaben des übertragenen Wirkungskreises:</w:t>
      </w:r>
    </w:p>
    <w:p>
      <w:r>
        <w:t xml:space="preserve">1. die Aufgaben der unteren Bauaufsichtsbehörden nach Art. 53 Abs. 2, die Erklärung nach Art. 58 Abs. 1 Nr. 5, Entscheidungen nach Art. 63 Abs. 3, die Stellungnahme nach Art. 64 Abs. 1 Satz 2, das Widersprechen nach Art. 73 Abs. 1 Satz 3 und die Äußerung bei der Anhörung nach Art. 73 Abs. 2 Satz 4 der Bayerischen Bauordnung,</w:t>
      </w:r>
    </w:p>
    <w:p>
      <w:r>
        <w:t xml:space="preserve">2. die Wahrnehmung der Aufgaben der Katastrophenschutzbehörde bei fehlender Verbindung zur Kreisverwaltungsbehörde nach Art. 2 Abs. 1 Satz 2 des Bayerischen Katastrophenschutzgesetzes,</w:t>
      </w:r>
    </w:p>
    <w:p>
      <w:r>
        <w:t xml:space="preserve">3. die Unterstützung benachbarter Gemeinden bei unaufschiebbaren Vorkehrungen zur Abwendung von Wasser- und Eisgefahr nach Art. 66 Abs. 1 des Bayerischen Wassergesetzes,</w:t>
      </w:r>
    </w:p>
    <w:p>
      <w:r>
        <w:t xml:space="preserve">4. die Aufstellung der Vorschlagslisten für Schöffen nach § 36 des Gerichtsverfassungsgesetzes,</w:t>
      </w:r>
    </w:p>
    <w:p>
      <w:r>
        <w:t xml:space="preserve">5. die Wahrnehmung der Aufgaben der örtlichen Straßenverkehrsbehörde nach Art. 2 Nr. 1, Art. 3 des Gesetzes über Zuständigkeiten im Verkehrswesen,</w:t>
      </w:r>
    </w:p>
    <w:p>
      <w:r>
        <w:t xml:space="preserve">6. die Vornahme des Sühneversuchs in Privatklageverfahren nach Art. 49 des Gesetzes zur Ausführung des Gerichtsverfassungsgesetzes und von Verfahrensgesetzen des Bundes,</w:t>
      </w:r>
    </w:p>
    <w:p>
      <w:r>
        <w:t xml:space="preserve">7. die Durchführung des Zertifizierungsverfahrens sowie des Kontrollverfahrens für Hopfen und Hopfenerzeugnisse, die nicht der Zertifizierung unterliegen, und die amtliche Aufsicht in den Zertifizierungsstellen außerhalb der gemeindlichen Siegelhallen nach § 5 Nr. 3 der Verordnung über Zuständigkeiten zur Ausführung von Verordnungen der Europäischen Gemeinschaften im Geschäftsbereich des Bayerischen Staatsministeriums für Ernährung, Landwirtschaft, Forsten und Tourismus,</w:t>
      </w:r>
    </w:p>
    <w:p>
      <w:r>
        <w:t xml:space="preserve">8. der Vollzug von Satzungen und Verordnungen des übertragenen Wirkungskreises,</w:t>
      </w:r>
    </w:p>
    <w:p>
      <w:r>
        <w:t xml:space="preserve">9. die Entscheidung über Gastschulverhältnisse nach Art. 43 Abs. 1 des Bayerischen Gesetzes über das Erziehungs- und Unterrichtswesen,</w:t>
      </w:r>
    </w:p>
    <w:p>
      <w:r>
        <w:t xml:space="preserve">10. die Anordnung von Ausnahmen von der Sperrzeit für einzelne Betriebe nach § 11 der Gaststättenverordnung.</w:t>
      </w:r>
    </w:p>
    <w:p>
      <w:r>
        <w:rPr>
          <w:color w:val="555555"/>
          <w:sz w:val="17"/>
        </w:rPr>
        <w:t xml:space="preserve">Zitiervorschlag: § 1 BayAufVGem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https://recht.nulegal.eu/gesetze/BayAufVGem/1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