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BayArchivG (Bayern) — Übernahme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zuständige staatliche Archiv übernimmt die von ihm im Benehmen mit der anbietenden Stelle als archivwürdig bestimmten Unterlagen.</w:t>
      </w:r>
    </w:p>
    <w:p>
      <w:r>
        <w:t xml:space="preserve">(2) Vor der Übernahme von Unterlagen im Sinn von Art. 6 Abs. 1 Satz 3 muss das zuständige staatliche Archiv durch geeignete Maßnahmen oder entsprechende Festlegungen sicherstellen, dass schutzwürdige Interessen Betroffener oder Dritter und überwiegende Interessen des Gemeinwohls auch nach der Archivierung angemessen berücksichtigt werden.</w:t>
      </w:r>
    </w:p>
    <w:p>
      <w:r>
        <w:t xml:space="preserve">(3) Das zuständige staatliche Archiv kann archivwürdige Unterlagen bereits vor Ablauf besonderer Aufbewahrungsfristen endgültig übernehmen. Die Aufbewahrungsfristen werden in diesem Fall durch die Aufbewahrung im Archiv gewahrt.</w:t>
      </w:r>
    </w:p>
    <w:p>
      <w:r>
        <w:rPr>
          <w:color w:val="555555"/>
          <w:sz w:val="17"/>
        </w:rPr>
        <w:t xml:space="preserve">Zitiervorschlag: Art 7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