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BayArchivG (Bayern) — Begriffsbestimmungen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Archivgut sind alle von den Archiven als archivwürdig bestimmten und übernommenen Unterlagen. Unterlagen sind vor allem Akten, Urkunden und andere Einzelschriftstücke, Karten, Pläne, Bild-, Film- und Tonmaterial und sonstige Datenträger sowie Dateien einschließlich der zu ihrer Auswertung erforderlichen Programme. Zum Archivgut gehört auch Dokumentationsmaterial, das von den Archiven ergänzend gesammelt wird.</w:t>
      </w:r>
    </w:p>
    <w:p>
      <w:r>
        <w:t xml:space="preserve">(2) Archivwürdig sind Unterlagen, die für die historische Überlieferungsbildung, Wissenschaft und Forschung oder berechtigte Interessen der Bürger von bleibendem Wert sind.</w:t>
      </w:r>
    </w:p>
    <w:p>
      <w:r>
        <w:t xml:space="preserve">(3) Archivierung umfasst die Aufgabe, das Archivgut zu erfassen, zu übernehmen, auf Dauer zu verwahren und zu sichern, zu erhalten, zu erschließen, nutzbar zu machen, lesbar zu halten und auszuwerten.</w:t>
      </w:r>
    </w:p>
    <w:p>
      <w:r>
        <w:rPr>
          <w:color w:val="555555"/>
          <w:sz w:val="17"/>
        </w:rPr>
        <w:t xml:space="preserve">Zitiervorschlag: Art 2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