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15 BayArchivG (Bayern) — Ermächtigungen</w:t>
      </w:r>
    </w:p>
    <w:p>
      <w:r>
        <w:rPr>
          <w:color w:val="555555"/>
          <w:sz w:val="18"/>
        </w:rPr>
        <w:t xml:space="preserve">Bayerisches Archivgesetz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Staatsregierung wird ermächtigt, durch Rechtsverordnung</w:t>
      </w:r>
    </w:p>
    <w:p>
      <w:r>
        <w:t xml:space="preserve">1. die Benutzung der staatlichen Archive, vor allem die Zulassung, den Ausschluss und das Verhalten in den Archiven zu regeln und</w:t>
      </w:r>
    </w:p>
    <w:p>
      <w:r>
        <w:t xml:space="preserve">2. die Maßnahmen zur Sicherung der in Art. 10 Abs. 2 Satz 3 Nr. 1 bis 5 aufgezählten Interessen im Einzelnen festzulegen.</w:t>
      </w:r>
    </w:p>
    <w:p>
      <w:r>
        <w:rPr>
          <w:color w:val="555555"/>
          <w:sz w:val="17"/>
        </w:rPr>
        <w:t xml:space="preserve">Zitiervorschlag: Art 15 BayArchivG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https://recht.nulegal.eu/gesetze/BayArchivG/15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