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BayArchivG (Bayern) — Archiv des Bayerischen Landtags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das Archiv des Landtags gelten die Bestimmungen des Abschnitts II sinngemäß. Der Landtag regelt die Einzelheiten der Benutzung.</w:t>
      </w:r>
    </w:p>
    <w:p>
      <w:r>
        <w:t xml:space="preserve">(2) Sofern der Landtag kein eigenes Archiv unterhält, hat er Unterlagen, die er zur Erfüllung seiner Aufgaben nicht mehr benötigt, dem zuständigen staatlichen Archiv zur Übernahme anzubieten.</w:t>
      </w:r>
    </w:p>
    <w:p>
      <w:r>
        <w:rPr>
          <w:color w:val="555555"/>
          <w:sz w:val="17"/>
        </w:rPr>
        <w:t xml:space="preserve">Zitiervorschlag: Art 12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