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BayArbzProfV (Bayern)</w:t>
      </w:r>
    </w:p>
    <w:p>
      <w:r>
        <w:rPr>
          <w:color w:val="555555"/>
          <w:sz w:val="18"/>
        </w:rPr>
        <w:t xml:space="preserve">Verordnung über die Anwendung der Vorschriften über die Arbeitszeit für bestimmte Gruppen von beamteten Professoren und Professorinnen sowie Juniorprofessoren und Juniorprofessorinnen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12. Juni 1981</w:t>
      </w:r>
    </w:p>
    <w:p>
      <w:r>
        <w:t xml:space="preserve">Bayerisches Staatsministerium für Unterricht und Kultus</w:t>
      </w:r>
    </w:p>
    <w:p>
      <w:r>
        <w:t xml:space="preserve">Prof. Hans Maier, Staatsminister</w:t>
      </w:r>
    </w:p>
    <w:p>
      <w:r>
        <w:rPr>
          <w:color w:val="555555"/>
          <w:sz w:val="17"/>
        </w:rPr>
        <w:t xml:space="preserve">Zitiervorschlag: Schlussformel BayArbzProfV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https://recht.nulegal.eu/gesetze/BayArbzProfV/schlussformel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