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BayArbzProfV (Bayern) — Inkrafttreten</w:t>
      </w:r>
    </w:p>
    <w:p>
      <w:r>
        <w:rPr>
          <w:color w:val="555555"/>
          <w:sz w:val="18"/>
        </w:rPr>
        <w:t xml:space="preserve">Verordnung über die Anwendung der Vorschriften über die Arbeitszeit für bestimmte Gruppen von beamteten Professoren und Professorinnen sowie Juniorprofessoren und Juniorprofessorinnen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1981 in Kraft.</w:t>
      </w:r>
    </w:p>
    <w:p>
      <w:r>
        <w:rPr>
          <w:color w:val="555555"/>
          <w:sz w:val="17"/>
        </w:rPr>
        <w:t xml:space="preserve">Zitiervorschlag: § 2 BayArbzProfV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https://recht.nulegal.eu/gesetze/BayArbzProfV/2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