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BayArbGGTV (Bayern)</w:t>
      </w:r>
    </w:p>
    <w:p>
      <w:r>
        <w:rPr>
          <w:color w:val="555555"/>
          <w:sz w:val="18"/>
        </w:rPr>
        <w:t xml:space="preserve">Verordnung zu den Gerichtstagen der bayerischen Arbeitsgerichtsbarkeit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 § 14 Abs. 2 des Arbeitsgerichtsgesetzes, § 1 des Gesetzes über Rechtsverordnungen im Bereich der Gerichtsbarkeit vom 1. Juli 1960 (BGBl. I S. 481), § 1 der Verordnung über die Zuständigkeit zum Erlaß von Rechtsverordnungen im Bereich der Gerichtsbarkeit sowie Art. 4 des Gesetzes über die Organisation der Gerichte für Arbeitssachen im Freistaat Bayern erläßt das Bayerische Staatsministerium für Arbeit und Sozialordnung im Einvernehmen mit dem Bayerischen Staatsministerium der Justiz folgende Verordnung:</w:t>
      </w:r>
    </w:p>
    <w:p>
      <w:r>
        <w:rPr>
          <w:color w:val="555555"/>
          <w:sz w:val="17"/>
        </w:rPr>
        <w:t xml:space="preserve">Zitiervorschlag: Eingangsformel BayArbGGTV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https://recht.nulegal.eu/gesetze/BayArbGGTV/eingangsformel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