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BayArbGGTV (Bayern) — Inkrafttreten</w:t>
      </w:r>
    </w:p>
    <w:p>
      <w:r>
        <w:rPr>
          <w:color w:val="555555"/>
          <w:sz w:val="18"/>
        </w:rPr>
        <w:t xml:space="preserve">Verordnung zu den Gerichtstagen der bayerischen Arbeitsgerichtsbarkeit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1973 in Kraft.</w:t>
      </w:r>
    </w:p>
    <w:p>
      <w:r>
        <w:t xml:space="preserve">[Amtl. Anm.:] Betrifft die ursprüngliche Fassung vom 20. Juni 1973 (GVBl. S. 355)</w:t>
      </w:r>
    </w:p>
    <w:p>
      <w:r>
        <w:rPr>
          <w:color w:val="555555"/>
          <w:sz w:val="17"/>
        </w:rPr>
        <w:t xml:space="preserve">Zitiervorschlag: § 2 BayArbGGTV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https://recht.nulegal.eu/gesetze/BayArbGGTV/2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