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BayAnerkV (Bayern) — Erstmalige Überprüfung von Anerkennungen</w:t>
      </w:r>
    </w:p>
    <w:p>
      <w:r>
        <w:rPr>
          <w:color w:val="555555"/>
          <w:sz w:val="18"/>
        </w:rPr>
        <w:t xml:space="preserve">Bayerische Anerkennungsverordnung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Anerkennungen als Kurort oder Luftkurort, die am 1. Oktober 2016 länger als zehn Jahre zurückliegen, sind anlässlich der nächsten periodischen Überprüfung der Klimaanalyse bzw. Klimabeurteilung erstmals entsprechend § 14 zu überprüfen.</w:t>
      </w:r>
    </w:p>
    <w:p>
      <w:r>
        <w:rPr>
          <w:color w:val="555555"/>
          <w:sz w:val="17"/>
        </w:rPr>
        <w:t xml:space="preserve">Zitiervorschlag: § 20 BayAnerkV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https://recht.nulegal.eu/gesetze/BayAnerkV/20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