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BayAnerkV (Bayern) — Veröffentlichung</w:t>
      </w:r>
    </w:p>
    <w:p>
      <w:r>
        <w:rPr>
          <w:color w:val="555555"/>
          <w:sz w:val="18"/>
        </w:rPr>
        <w:t xml:space="preserve">Bayerische Anerkennungsverordnung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Anerkennung und deren Aufhebung werden nach Eintritt der Unanfechtbarkeit der Entscheidung im Staatsanzeiger bekanntgemacht.</w:t>
      </w:r>
    </w:p>
    <w:p>
      <w:r>
        <w:rPr>
          <w:color w:val="555555"/>
          <w:sz w:val="17"/>
        </w:rPr>
        <w:t xml:space="preserve">Zitiervorschlag: § 15 BayAnerkV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https://recht.nulegal.eu/gesetze/BayAnerkV/15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