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BayAnerkV (Bayern) — Auflagen, Befristung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Anerkennung kann befristet und unter Auflagen ausgesprochen werden. Hierbei können insbesondere Betriebs- und Überwachungspflichten einschließlich periodischer Kontrollmaßnahmen festgelegt werden.</w:t>
      </w:r>
    </w:p>
    <w:p>
      <w:r>
        <w:t xml:space="preserve">(2) Zur Sicherung des Fortbestandes der jeweiligen Anerkennungsvoraussetzungen können Auflagen auch nachträglich verfügt werden.</w:t>
      </w:r>
    </w:p>
    <w:p>
      <w:r>
        <w:rPr>
          <w:color w:val="555555"/>
          <w:sz w:val="17"/>
        </w:rPr>
        <w:t xml:space="preserve">Zitiervorschlag: § 13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