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BayAnerkV (Bayern) — Erholungsort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Gemeinde oder ein Gemeindeteil kann als Erholungsort anerkannt werden, wenn</w:t>
      </w:r>
    </w:p>
    <w:p>
      <w:r>
        <w:t xml:space="preserve">1. eine landschaftlich bevorzugte und klimatisch günstige Lage und regelgerechte Verhältnisse der Ortshygiene bei Wasser, Boden und Luft gegeben sind,</w:t>
      </w:r>
    </w:p>
    <w:p>
      <w:r>
        <w:t xml:space="preserve">2. geeignete Einrichtungen für die Erholung und ein angemessenes, § 2 Abs. 1 Satz 1 Nr. 4 entsprechendes Angebot vorhanden sind,</w:t>
      </w:r>
    </w:p>
    <w:p>
      <w:r>
        <w:t xml:space="preserve">3. die durchschnittliche Übernachtungsdauer der Gäste, berechnet aus Übernachtungen geteilt durch die Zahl der Ankünfte, in der Regel mindestens drei Nächte beträgt,</w:t>
      </w:r>
    </w:p>
    <w:p>
      <w:r>
        <w:t xml:space="preserve">4. die Zahl der Gästeübernachtungen in der Regel das Siebenfache der Einwohnerzahl übersteigt und</w:t>
      </w:r>
    </w:p>
    <w:p>
      <w:r>
        <w:t xml:space="preserve">5. ein der Erholung und touristischen Bedeutung entsprechender Ortscharakter vorliegt.</w:t>
      </w:r>
    </w:p>
    <w:p>
      <w:r>
        <w:t xml:space="preserve">(2) Bei der Anerkennung sind die im Tourismus allgemein anerkannten Grundsätze zu berücksichtigen.</w:t>
      </w:r>
    </w:p>
    <w:p>
      <w:r>
        <w:rPr>
          <w:color w:val="555555"/>
          <w:sz w:val="17"/>
        </w:rPr>
        <w:t xml:space="preserve">Zitiervorschlag: § 11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