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BayAnerkV (Bayern) — Luftkurort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Gemeinde oder ein Gemeindeteil kann als Luftkurort anerkannt werden, wenn</w:t>
      </w:r>
    </w:p>
    <w:p>
      <w:r>
        <w:t xml:space="preserve">1. ein der Erholung dienliches und gesundheitsförderndes Klima gegeben ist, dessen Eigenschaften periodisch überprüft werden, sowie regelgerechte Verhältnisse der Ortshygiene bei Wasser, Boden und Luft,</w:t>
      </w:r>
    </w:p>
    <w:p>
      <w:r>
        <w:t xml:space="preserve">2. eine angemessene medizinische Versorgung und ein angemessenes, § 2 Abs. 1 Satz 1 Nr. 4 entsprechendes Angebot vorhanden sind,</w:t>
      </w:r>
    </w:p>
    <w:p>
      <w:r>
        <w:t xml:space="preserve">3. hinsichtlich der Gästeübernachtungen und der Übernachtungsdauer mindestens die Anforderungen an Erholungsorte erfüllt werden und</w:t>
      </w:r>
    </w:p>
    <w:p>
      <w:r>
        <w:t xml:space="preserve">4. ein der Gesundheitsorientierung, der Erholung und touristischen Bedeutung entsprechender Ortscharakter vorliegt.</w:t>
      </w:r>
    </w:p>
    <w:p>
      <w:r>
        <w:t xml:space="preserve">(2) Bei der Anerkennung sind die im Kur-, Bäder- und Tourismuswesen allgemein anerkannten Grundsätze zu berücksichtigen.</w:t>
      </w:r>
    </w:p>
    <w:p>
      <w:r>
        <w:rPr>
          <w:color w:val="555555"/>
          <w:sz w:val="17"/>
        </w:rPr>
        <w:t xml:space="preserve">Zitiervorschlag: § 10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