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BayAgrarWiG (Bayern)</w:t>
      </w:r>
    </w:p>
    <w:p>
      <w:r>
        <w:rPr>
          <w:color w:val="555555"/>
          <w:sz w:val="18"/>
        </w:rPr>
        <w:t xml:space="preserve">Bayerisches Agrarwirtschaftsgesetz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BayAgrarWiG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https://recht.nulegal.eu/gesetze/BayAgrarWiG/eingangsformel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