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BayAgrarWiG (Bayern) — Staatliche Anerkennung</w:t>
      </w:r>
    </w:p>
    <w:p>
      <w:r>
        <w:rPr>
          <w:color w:val="555555"/>
          <w:sz w:val="18"/>
        </w:rPr>
        <w:t xml:space="preserve">Bayerisches Agrarwirtschaftsgesetz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von Vereinigungen von Selbsthilfeeinrichtungen nach Art. 3 Abs. 1 Satz 1 und von sonstigen Zusammenschlüssen nach Art. 3 Abs. 3 wird auf Antrag vom Staatsministerium für Ernährung, Landwirtschaft, Forsten und Tourismus (Staatsministerium) ausgesprochen, wenn die betreffende Einrichtung mindestens folgende Voraussetzungen erfüllt:</w:t>
      </w:r>
    </w:p>
    <w:p>
      <w:r>
        <w:t xml:space="preserve">1. Sie muss nach ihrer Rechtsgrundlage und Tätigkeit den Zielsetzungen dieses Gesetzes entsprechen.</w:t>
      </w:r>
    </w:p>
    <w:p>
      <w:r>
        <w:t xml:space="preserve">2. Sie muss wirtschaftlich unabhängig von Unternehmen Dritter sein.</w:t>
      </w:r>
    </w:p>
    <w:p>
      <w:r>
        <w:t xml:space="preserve">3. Zu ihren Aufgaben muss der rationelle Einsatz des für die ordnungsgemäße Aufgabenerfüllung erforderlichen Personals gehören.</w:t>
      </w:r>
    </w:p>
    <w:p>
      <w:r>
        <w:t xml:space="preserve">4. Sie muss über ein dokumentiertes internes Qualitätssicherungssystem verfügen.</w:t>
      </w:r>
    </w:p>
    <w:p>
      <w:r>
        <w:t xml:space="preserve">5. Sie muss landesweit tätig sein.</w:t>
      </w:r>
    </w:p>
    <w:p>
      <w:r>
        <w:t xml:space="preserve">Bei sonstigen Zusammenschlüssen nach Art. 3 Abs. 3 Nr. 3 kann auf die Anerkennungsvoraussetzung nach Satz 1 Nr. 5 verzichtet werden.</w:t>
      </w:r>
    </w:p>
    <w:p>
      <w:r>
        <w:t xml:space="preserve">(2) Anerkennungen, die auf Grund von Art. 9 und 24 des Gesetzes zur Förderung der Bayerischen Landwirtschaft (LwFöG) erteilt wurden, gelten als Anerkennungen nach Abs. 1.</w:t>
      </w:r>
    </w:p>
    <w:p>
      <w:r>
        <w:t xml:space="preserve">(3) Anerkennungen nach Abs. 1 und 2 können auch nachträglich mit Nebenbestimmungen nach Art. 36 des Bayerischen Verwaltungsverfahrensgesetzes versehen werden.</w:t>
      </w:r>
    </w:p>
    <w:p>
      <w:r>
        <w:rPr>
          <w:color w:val="555555"/>
          <w:sz w:val="17"/>
        </w:rPr>
        <w:t xml:space="preserve">Zitiervorschlag: Art 4 BayAgrarWiG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https://recht.nulegal.eu/gesetze/BayAgrarWiG/4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