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BayAgrarWiG (Bayern) — Inkrafttreten, Außerkrafttreten</w:t>
      </w:r>
    </w:p>
    <w:p>
      <w:r>
        <w:rPr>
          <w:color w:val="555555"/>
          <w:sz w:val="18"/>
        </w:rPr>
        <w:t xml:space="preserve">Bayerisches Agrarwirtschaftsgesetz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2007 in Kraft.</w:t>
      </w:r>
    </w:p>
    <w:p>
      <w:r>
        <w:rPr>
          <w:color w:val="555555"/>
          <w:sz w:val="17"/>
        </w:rPr>
        <w:t xml:space="preserve">Zitiervorschlag: Art 11 BayAgrarWiG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https://recht.nulegal.eu/gesetze/BayAgrarWiG/11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