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BayAgrSchO (Bayern)</w:t>
      </w:r>
    </w:p>
    <w:p>
      <w:r>
        <w:rPr>
          <w:color w:val="555555"/>
          <w:sz w:val="18"/>
        </w:rPr>
        <w:t xml:space="preserve">Bayerische Agrarschulordnung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44 Abs. 2 Satz 1, des Art. 45 Abs. 2 Satz 4, des Art. 52 Abs. 5 Satz 5, des Art. 85 Abs. 1a Satz 3, des Art. 89 Abs. 1 Satz 1 und des Art. 114 Abs. 5 Satz 1 des Bayerischen Gesetzes über das Erziehungs- und Unterrichtswesen (BayEUG) in der Fassung der Bekanntmachung vom 31. Mai 2000 (GVBl. S. 414, 632, BayRS 2230-1-1-K), das zuletzt durch § 1 des Gesetzes vom 24. Juli 2019 (GVBl. S. 398) und durch § 4 des Gesetzes vom 24. Juli 2019 (GVBl. S. 408) geändert worden ist, verordnet das Bayerische Staatsministerium für Ernährung, Landwirtschaft und Forsten:</w:t>
      </w:r>
    </w:p>
    <w:p>
      <w:r>
        <w:rPr>
          <w:color w:val="555555"/>
          <w:sz w:val="17"/>
        </w:rPr>
        <w:t xml:space="preserve">Zitiervorschlag: Eingangsformel BayAgrSchO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https://recht.nulegal.eu/gesetze/BayAgrSchO/eingangsformel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