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95 BayAgrSchO (Bayern) — Zugangsvoraussetzungen</w:t>
      </w:r>
    </w:p>
    <w:p>
      <w:r>
        <w:rPr>
          <w:color w:val="555555"/>
          <w:sz w:val="18"/>
        </w:rPr>
        <w:t xml:space="preserve">Bayerische Agrarschulordnung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Für die Aufnahme ist die erfolgreiche Abschlussprüfung in einem der gewählten Fachrichtung einschlägigen oder verwandten Ausbildungsberuf und zusätzlich eine weitere einschlägige Berufstätigkeit von einem Jahr erforderlich. Abweichend von Satz 1 ist für die Aufnahme an der Technikerschule für Agrarwirtschaft, Fachrichtung Ernährungs- und Versorgungsmanagement keine Berufstätigkeit nachzuweisen. Abweichend von Satz 1 ist bei Bewerbern, die die Meisterprüfung im Rahmen der Meister- und Technikerschule für Weinbau und Gartenbau in den Fachrichtungen Gartenbau oder Garten- und Landschaftsbau ablegen wollen, eine einschlägige Berufstätigkeit von mindestens zwei Jahren nachzuweisen. Zusätzlich zu den in Satz 1 genannten Voraussetzungen ist für die Aufnahme</w:t>
      </w:r>
    </w:p>
    <w:p>
      <w:r>
        <w:t xml:space="preserve">1. in die Technikerschule für Agrarwirtschaft, Fachrichtung Landwirtschaft und Fachrichtung Milchwirtschaft und Molkereiwesen ein Notendurchschnitt von 3,5 oder besser,</w:t>
      </w:r>
    </w:p>
    <w:p>
      <w:r>
        <w:t xml:space="preserve">2. in die Technikerschule für Waldwirtschaft ein Notendurchschnitt von 3,3 oder besser</w:t>
      </w:r>
    </w:p>
    <w:p>
      <w:r>
        <w:t xml:space="preserve">3. sowie in die Meister- und Technikerschule für Weinbau und Gartenbau, Fachrichtung Garten- und Landschaftsbau ein Notendurchschnitt von 3,0 oder besser</w:t>
      </w:r>
    </w:p>
    <w:p>
      <w:r>
        <w:t xml:space="preserve">in der Abschlussprüfung in einem einschlägigen oder verwandten Ausbildungsberuf erforderlich.</w:t>
      </w:r>
    </w:p>
    <w:p>
      <w:r>
        <w:t xml:space="preserve">(2) Bewerber, die den erfolgreichen Abschluss einer Fachschule oder einen vergleichbaren Abschluss der jeweiligen Fachrichtung nachweisen, können direkt in das zweite Schuljahr der Technikerschule aufgenommen werden, sofern die Voraussetzungen nach Abs. 1 erfüllt sind. Ausgenommen hiervon ist der einsemestrige Studiengang der Landwirtschaftsschule „Fachschule für Ernährung und Haushaltsführung“.</w:t>
      </w:r>
    </w:p>
    <w:p>
      <w:r>
        <w:rPr>
          <w:color w:val="555555"/>
          <w:sz w:val="17"/>
        </w:rPr>
        <w:t xml:space="preserve">Zitiervorschlag: § 95 BayAgrSchO (Bayern)</w:t>
      </w:r>
    </w:p>
    <w:p>
      <w:r>
        <w:rPr>
          <w:color w:val="555555"/>
          <w:sz w:val="17"/>
        </w:rPr>
        <w:t xml:space="preserve">Quelle: bayernrecht, abgerufen 01.09.2026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https://recht.nulegal.eu/gesetze/BayAgrSchO/95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